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Universidade Federal de Santa Catarina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Curso de Administração Pública – Modalidade a Distância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Regulação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Atividade 1</w:t>
      </w:r>
    </w:p>
    <w:p w:rsidR="000A564D" w:rsidRPr="00944BA2" w:rsidRDefault="000A564D" w:rsidP="00944BA2">
      <w:pPr>
        <w:jc w:val="both"/>
        <w:rPr>
          <w:rFonts w:ascii="Times New Roman" w:hAnsi="Times New Roman"/>
        </w:rPr>
      </w:pP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1.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Considere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: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</w:t>
      </w:r>
      <w:r w:rsidRPr="00944BA2">
        <w:rPr>
          <w:rFonts w:ascii="Times New Roman" w:hAnsi="Times New Roman" w:cs="Helvetica"/>
          <w:szCs w:val="18"/>
          <w:lang w:val="en-US"/>
        </w:rPr>
        <w:t xml:space="preserve">.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legal é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necessariamente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compatível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com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eficiência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econômica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Ótimo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Pareto e 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maximização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bem-estar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social.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II</w:t>
      </w:r>
      <w:r w:rsidRPr="00944BA2">
        <w:rPr>
          <w:rFonts w:ascii="Times New Roman" w:hAnsi="Times New Roman" w:cs="Helvetica"/>
          <w:szCs w:val="18"/>
          <w:lang w:val="en-US"/>
        </w:rPr>
        <w:t xml:space="preserve">.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Quando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firma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produz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segundo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função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com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rendimentos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crescentes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escala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então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determinadas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pré-condições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necessárias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suficientes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para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instalação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um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legal.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 xml:space="preserve">.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natural surge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quando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economias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escala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tornam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empresa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baixo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custo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inviabiliza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entrada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outros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competidores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mercado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IV</w:t>
      </w:r>
      <w:r w:rsidRPr="00944BA2">
        <w:rPr>
          <w:rFonts w:ascii="Times New Roman" w:hAnsi="Times New Roman" w:cs="Helvetica"/>
          <w:szCs w:val="18"/>
          <w:lang w:val="en-US"/>
        </w:rPr>
        <w:t xml:space="preserve">. Um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pode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ser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simultaneamente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natural e legal,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visto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primeiro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é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defin</w:t>
      </w:r>
      <w:r w:rsidR="00321F23">
        <w:rPr>
          <w:rFonts w:ascii="Times New Roman" w:hAnsi="Times New Roman" w:cs="Helvetica"/>
          <w:szCs w:val="18"/>
          <w:lang w:val="en-US"/>
        </w:rPr>
        <w:t>ido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por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condições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técnicas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e o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s</w:t>
      </w:r>
      <w:r w:rsidRPr="00944BA2">
        <w:rPr>
          <w:rFonts w:ascii="Times New Roman" w:hAnsi="Times New Roman" w:cs="Helvetica"/>
          <w:szCs w:val="18"/>
          <w:lang w:val="en-US"/>
        </w:rPr>
        <w:t>egundo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por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condições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regulação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dos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mercados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Está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correto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afirma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APENAS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em</w:t>
      </w:r>
      <w:proofErr w:type="spellEnd"/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proofErr w:type="gramStart"/>
      <w:r w:rsidRPr="00944BA2">
        <w:rPr>
          <w:rFonts w:ascii="Times New Roman" w:hAnsi="Times New Roman" w:cs="Helvetica"/>
          <w:szCs w:val="18"/>
          <w:lang w:val="en-US"/>
        </w:rPr>
        <w:t xml:space="preserve">(A) </w:t>
      </w:r>
      <w:r w:rsidRPr="00944BA2">
        <w:rPr>
          <w:rFonts w:ascii="Times New Roman" w:hAnsi="Times New Roman" w:cs="Helvetica"/>
          <w:szCs w:val="20"/>
          <w:lang w:val="en-US"/>
        </w:rPr>
        <w:t xml:space="preserve">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  <w:proofErr w:type="gramEnd"/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(B) </w:t>
      </w:r>
      <w:r w:rsidRPr="00944BA2">
        <w:rPr>
          <w:rFonts w:ascii="Times New Roman" w:hAnsi="Times New Roman" w:cs="Helvetica"/>
          <w:szCs w:val="20"/>
          <w:lang w:val="en-US"/>
        </w:rPr>
        <w:t xml:space="preserve">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(C) </w:t>
      </w:r>
      <w:r w:rsidRPr="00944BA2">
        <w:rPr>
          <w:rFonts w:ascii="Times New Roman" w:hAnsi="Times New Roman" w:cs="Helvetica"/>
          <w:szCs w:val="20"/>
          <w:lang w:val="en-US"/>
        </w:rPr>
        <w:t xml:space="preserve">II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(D) </w:t>
      </w:r>
      <w:r w:rsidRPr="00944BA2">
        <w:rPr>
          <w:rFonts w:ascii="Times New Roman" w:hAnsi="Times New Roman" w:cs="Helvetica"/>
          <w:szCs w:val="20"/>
          <w:lang w:val="en-US"/>
        </w:rPr>
        <w:t xml:space="preserve">II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IV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0536BD" w:rsidRDefault="000A564D" w:rsidP="00944BA2">
      <w:pPr>
        <w:jc w:val="both"/>
        <w:rPr>
          <w:rFonts w:ascii="Times New Roman" w:hAnsi="Times New Roman" w:cs="Helvetica"/>
          <w:szCs w:val="18"/>
          <w:lang w:val="en-US"/>
        </w:rPr>
      </w:pPr>
      <w:r w:rsidRPr="000536BD">
        <w:rPr>
          <w:rFonts w:ascii="Times New Roman" w:hAnsi="Times New Roman" w:cs="Helvetica"/>
          <w:szCs w:val="18"/>
          <w:lang w:val="en-US"/>
        </w:rPr>
        <w:t xml:space="preserve">(E) </w:t>
      </w:r>
      <w:r w:rsidRPr="000536BD">
        <w:rPr>
          <w:rFonts w:ascii="Times New Roman" w:hAnsi="Times New Roman" w:cs="Helvetica"/>
          <w:szCs w:val="20"/>
          <w:lang w:val="en-US"/>
        </w:rPr>
        <w:t xml:space="preserve">III </w:t>
      </w:r>
      <w:r w:rsidRPr="000536BD">
        <w:rPr>
          <w:rFonts w:ascii="Times New Roman" w:hAnsi="Times New Roman" w:cs="Helvetica"/>
          <w:szCs w:val="18"/>
          <w:lang w:val="en-US"/>
        </w:rPr>
        <w:t xml:space="preserve">e </w:t>
      </w:r>
      <w:r w:rsidRPr="000536BD">
        <w:rPr>
          <w:rFonts w:ascii="Times New Roman" w:hAnsi="Times New Roman" w:cs="Helvetica"/>
          <w:szCs w:val="20"/>
          <w:lang w:val="en-US"/>
        </w:rPr>
        <w:t>IV</w:t>
      </w:r>
      <w:r w:rsidRPr="000536BD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jc w:val="both"/>
        <w:rPr>
          <w:rFonts w:ascii="Times New Roman" w:hAnsi="Times New Roman" w:cs="Helvetica"/>
          <w:b/>
          <w:szCs w:val="18"/>
          <w:lang w:val="en-US"/>
        </w:rPr>
      </w:pPr>
    </w:p>
    <w:p w:rsidR="007B61EB" w:rsidRPr="00944BA2" w:rsidRDefault="007B61EB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</w:p>
    <w:p w:rsidR="007B61EB" w:rsidRPr="00944BA2" w:rsidRDefault="009F43D1" w:rsidP="00944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44BA2" w:rsidRPr="00944BA2">
        <w:rPr>
          <w:rFonts w:ascii="Times New Roman" w:hAnsi="Times New Roman"/>
        </w:rPr>
        <w:t>.</w:t>
      </w:r>
      <w:r w:rsidR="007B61EB" w:rsidRPr="00944BA2">
        <w:rPr>
          <w:rFonts w:ascii="Times New Roman" w:hAnsi="Times New Roman"/>
        </w:rPr>
        <w:t xml:space="preserve"> Quais são os principais objetivos da regulação econômica?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</w:p>
    <w:p w:rsidR="007B61EB" w:rsidRPr="00944BA2" w:rsidRDefault="009F43D1" w:rsidP="00944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B61EB" w:rsidRPr="00944BA2">
        <w:rPr>
          <w:rFonts w:ascii="Times New Roman" w:hAnsi="Times New Roman"/>
        </w:rPr>
        <w:t xml:space="preserve"> – Discuta a principal critica a Regulação por meio da Taxa de Retorno.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</w:p>
    <w:sectPr w:rsidR="007B61EB" w:rsidRPr="00944BA2" w:rsidSect="007B61E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B61EB"/>
    <w:rsid w:val="000536BD"/>
    <w:rsid w:val="000A564D"/>
    <w:rsid w:val="0018701E"/>
    <w:rsid w:val="00315A7E"/>
    <w:rsid w:val="00321F23"/>
    <w:rsid w:val="00487568"/>
    <w:rsid w:val="004A6DC6"/>
    <w:rsid w:val="00511F99"/>
    <w:rsid w:val="006734BC"/>
    <w:rsid w:val="007B61EB"/>
    <w:rsid w:val="00861F14"/>
    <w:rsid w:val="00944BA2"/>
    <w:rsid w:val="009C3BEA"/>
    <w:rsid w:val="009F43D1"/>
    <w:rsid w:val="00BE4534"/>
    <w:rsid w:val="00C32D9C"/>
    <w:rsid w:val="00C733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Leite</dc:creator>
  <cp:lastModifiedBy>SUPERVISAO</cp:lastModifiedBy>
  <cp:revision>2</cp:revision>
  <dcterms:created xsi:type="dcterms:W3CDTF">2014-02-26T21:22:00Z</dcterms:created>
  <dcterms:modified xsi:type="dcterms:W3CDTF">2014-02-26T21:22:00Z</dcterms:modified>
</cp:coreProperties>
</file>